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CARTA DE INTIMACIÓN DE PAGO DE EXPENSAS — MODELO EN BLANCO</w:t>
      </w:r>
    </w:p>
    <w:p>
      <w:pPr>
        <w:pBdr>
          <w:left w:val="single" w:color="B87D24" w:sz="24" w:space="8"/>
        </w:pBdr>
        <w:shd w:fill="F9F5EE"/>
        <w:spacing w:after="200"/>
      </w:pPr>
      <w:r>
        <w:rPr>
          <w:i/>
          <w:iCs/>
          <w:sz w:val="18"/>
          <w:szCs w:val="18"/>
        </w:rPr>
        <w:t xml:space="preserve">No hay modelo oficial ni plazo legal de intimación de expensas: lo elige el administrador, y conviene que sea el mismo para todo el consorcio. La mora ya se produjo por el solo vencimiento de la expensa (art. 886 del Código Civil y Comercial) — esta carta no la crea, ordena el reclamo y deja constancia.</w:t>
      </w:r>
    </w:p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Datos del consorcio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Razón social del consorcio: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CUIT: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Domicilio del inmueble: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Administrador: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Matrícula: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Destinatario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Unidad funcional: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Titular: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Domicilio de notificación: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200" w:before="160"/>
      </w:pPr>
      <w:r>
        <w:rPr>
          <w:sz w:val="20"/>
          <w:szCs w:val="20"/>
        </w:rPr>
        <w:t xml:space="preserve">Por medio de la presente, en mi carácter de administrador del consorcio arriba identificado, intimo a Ud. a regularizar la deuda por expensas que registra la unidad funcional indicada, detallada a continuación, dentro del plazo que se consigna más abajo, bajo apercibimiento de iniciar las acciones que correspondan.</w:t>
      </w:r>
    </w:p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Detalle de períodos adeudados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2C1A10"/>
          </w:tcPr>
          <w:p>
            <w:r>
              <w:rPr>
                <w:b/>
                <w:bCs/>
                <w:color w:val="FDF8F0"/>
                <w:sz w:val="18"/>
                <w:szCs w:val="18"/>
              </w:rPr>
              <w:t xml:space="preserve">Período</w:t>
            </w:r>
          </w:p>
        </w:tc>
        <w:tc>
          <w:tcPr>
            <w:shd w:fill="2C1A10"/>
          </w:tcPr>
          <w:p>
            <w:r>
              <w:rPr>
                <w:b/>
                <w:bCs/>
                <w:color w:val="FDF8F0"/>
                <w:sz w:val="18"/>
                <w:szCs w:val="18"/>
              </w:rPr>
              <w:t xml:space="preserve">Capital</w:t>
            </w:r>
          </w:p>
        </w:tc>
        <w:tc>
          <w:tcPr>
            <w:shd w:fill="2C1A10"/>
          </w:tcPr>
          <w:p>
            <w:r>
              <w:rPr>
                <w:b/>
                <w:bCs/>
                <w:color w:val="FDF8F0"/>
                <w:sz w:val="18"/>
                <w:szCs w:val="18"/>
              </w:rPr>
              <w:t xml:space="preserve">Interés</w:t>
            </w:r>
          </w:p>
        </w:tc>
        <w:tc>
          <w:tcPr>
            <w:shd w:fill="2C1A10"/>
          </w:tcPr>
          <w:p>
            <w:r>
              <w:rPr>
                <w:b/>
                <w:bCs/>
                <w:color w:val="FDF8F0"/>
                <w:sz w:val="18"/>
                <w:szCs w:val="18"/>
              </w:rPr>
              <w:t xml:space="preserve">Total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Tasa y fundamento</w:t>
      </w:r>
    </w:p>
    <w:p>
      <w:pPr>
        <w:spacing w:after="200" w:before="160"/>
      </w:pPr>
      <w:r>
        <w:rPr>
          <w:color w:val="7A6A58"/>
          <w:sz w:val="18"/>
          <w:szCs w:val="18"/>
        </w:rPr>
        <w:t xml:space="preserve">Los intereses se calculan sobre el capital adeudado —interés simple, sin capitalizar mes a mes (art. 770 del Código Civil y Comercial)— desde el día siguiente al vencimiento de cada expensa. No existe una tasa legal de expensas: el artículo 768 remite a lo que acuerden las partes, que en un consorcio es el reglamento de propiedad horizontal o, si el reglamento calla, una decisión de asamblea (arts. 2058 inc. d y 2060 CCyCN).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Tasa aplicada: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Fundamento (reglamento / acta de asamblea):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Plazo y forma de pago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Plazo para regularizar (días corridos):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Medios de pago habilitados: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Lugar de pago: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Lugar: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Fecha: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Firma y aclaración del administrador: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before="200"/>
      </w:pPr>
      <w:r>
        <w:rPr>
          <w:i/>
          <w:iCs/>
          <w:color w:val="7A6A58"/>
          <w:sz w:val="16"/>
          <w:szCs w:val="16"/>
        </w:rPr>
        <w:t xml:space="preserve">En CONSO la intimación se genera sola desde la deuda de la unidad.</w:t>
      </w:r>
    </w:p>
    <w:sectPr>
      <w:footerReference w:type="default" r:id="rId7"/>
      <w:pgSz w:w="11905" w:h="16837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A6A58"/>
        <w:sz w:val="14"/>
        <w:szCs w:val="14"/>
      </w:rPr>
      <w:t xml:space="preserve">Modelo preparado por CONSO · conso.com.ar · gratis y sin registro · Información general, no asesoramiento legal · Versión: septiembre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intimación de pago de expensas — modelo</dc:title>
  <dc:creator>CONSO</dc:creator>
  <cp:lastModifiedBy>CONSO</cp:lastModifiedBy>
  <cp:revision>1</cp:revision>
  <dcterms:created xsi:type="dcterms:W3CDTF">2026-09-01T00:00:00.000Z</dcterms:created>
  <dcterms:modified xsi:type="dcterms:W3CDTF">2026-09-01T00:00:00.000Z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